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2A" w:rsidRPr="0036572A" w:rsidRDefault="00723759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Wymagania edukacyjn</w:t>
      </w:r>
      <w:bookmarkStart w:id="0" w:name="_GoBack"/>
      <w:bookmarkEnd w:id="0"/>
      <w:r>
        <w:rPr>
          <w:rFonts w:cs="AgendaPl Bold"/>
          <w:b/>
          <w:bCs/>
          <w:color w:val="004CFF"/>
          <w:sz w:val="32"/>
          <w:szCs w:val="32"/>
        </w:rPr>
        <w:t>e,</w:t>
      </w:r>
      <w:r w:rsidR="0036572A"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 w:rsidR="000F45BF">
        <w:rPr>
          <w:rFonts w:cs="AgendaPl Bold"/>
          <w:b/>
          <w:bCs/>
          <w:color w:val="004CFF"/>
          <w:sz w:val="32"/>
          <w:szCs w:val="32"/>
        </w:rPr>
        <w:t>7</w:t>
      </w:r>
      <w:r w:rsidR="0036572A" w:rsidRPr="0036572A">
        <w:rPr>
          <w:rFonts w:cs="AgendaPl Bold"/>
          <w:b/>
          <w:bCs/>
          <w:color w:val="004CFF"/>
          <w:sz w:val="32"/>
          <w:szCs w:val="3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471"/>
        <w:gridCol w:w="2471"/>
        <w:gridCol w:w="2471"/>
        <w:gridCol w:w="3089"/>
        <w:gridCol w:w="2474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przedstawia i omawia problematykę i konwencję obrazowania samodzielnie wybranego cyklu rysunków satyrycznych 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Marcin Popkiewicz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Patinir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problematyki wolności 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uczniowskie kalendarze 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wstępnie omawia 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na temat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internecie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argumenty związane z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przedstawienie miejsc pamięci związane z walką 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plakat ze szczególnym uwzględnieniem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Banksy, rysunki na murze między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Izraelem a Palestyną (street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dzieła ze </w:t>
            </w: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Wandałowski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wydobywa z tekstu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zmiany językowe, o których jest mowa w 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uzupełnia własnymi spostrzeżeniami informacje z tekstu na temat zmian w języku 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krótko charakteryzuje 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dokonuje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dokonuje wyczerpującej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wymogi tych form 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Grzędowicz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Rodolphe Jaquette,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 xml:space="preserve"> samodzielnie przygotowuje filmik prezentujący kandydata </w:t>
            </w: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Aleksander Minorski</w:t>
            </w:r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ikaryjski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Michał Głowiński, Aleksandra Okopień-Sławińska,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Richard Carlson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omówienia i oceny 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 określa postawę życiową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Max Ehrmann,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opowiada o relacjach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ocenia relacje 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Wyeth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lastRenderedPageBreak/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sporządza kartoteki przestępców z opowiadań o Herkulesie Poirocie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</w:t>
            </w:r>
            <w:r w:rsidRPr="00913D34">
              <w:rPr>
                <w:rFonts w:cs="AgendaPl RegularCondensed"/>
                <w:sz w:val="20"/>
                <w:szCs w:val="20"/>
              </w:rPr>
              <w:lastRenderedPageBreak/>
              <w:t>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lastRenderedPageBreak/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różnych rodzajach zdania współrzędnie złożonego dla interpretacji tekstów 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analizuje relacje między 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na wykresie i omawia 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świadomie, celowo, poprawnie, funkcjonalnie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15" w:rsidRDefault="009E0815" w:rsidP="00285D6F">
      <w:pPr>
        <w:spacing w:after="0" w:line="240" w:lineRule="auto"/>
      </w:pPr>
      <w:r>
        <w:separator/>
      </w:r>
    </w:p>
  </w:endnote>
  <w:endnote w:type="continuationSeparator" w:id="0">
    <w:p w:rsidR="009E0815" w:rsidRDefault="009E081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8A" w:rsidRDefault="00963D8A" w:rsidP="00285D6F">
    <w:pPr>
      <w:pStyle w:val="Stopka"/>
      <w:tabs>
        <w:tab w:val="clear" w:pos="9072"/>
        <w:tab w:val="right" w:pos="9639"/>
      </w:tabs>
      <w:ind w:left="-567" w:right="1"/>
    </w:pP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</w:p>
  <w:p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2184C">
      <w:rPr>
        <w:noProof/>
      </w:rPr>
      <w:t>14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15" w:rsidRDefault="009E0815" w:rsidP="00285D6F">
      <w:pPr>
        <w:spacing w:after="0" w:line="240" w:lineRule="auto"/>
      </w:pPr>
      <w:r>
        <w:separator/>
      </w:r>
    </w:p>
  </w:footnote>
  <w:footnote w:type="continuationSeparator" w:id="0">
    <w:p w:rsidR="009E0815" w:rsidRDefault="009E081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23759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15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32B7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2184C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D3E35-E496-4848-B96C-8CCD37A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72CC-6C49-45AE-8057-2DD24F0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17418</Words>
  <Characters>104509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Sala21</cp:lastModifiedBy>
  <cp:revision>5</cp:revision>
  <cp:lastPrinted>2017-06-11T19:17:00Z</cp:lastPrinted>
  <dcterms:created xsi:type="dcterms:W3CDTF">2022-01-04T19:31:00Z</dcterms:created>
  <dcterms:modified xsi:type="dcterms:W3CDTF">2022-01-04T19:41:00Z</dcterms:modified>
</cp:coreProperties>
</file>